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1000" w:lineRule="atLeast"/>
        <w:ind w:firstLineChars="0"/>
        <w:jc w:val="center"/>
        <w:rPr>
          <w:b/>
          <w:sz w:val="84"/>
          <w:szCs w:val="84"/>
        </w:rPr>
      </w:pPr>
      <w:r>
        <w:rPr>
          <w:rFonts w:hint="eastAsia"/>
          <w:b/>
          <w:sz w:val="84"/>
          <w:szCs w:val="84"/>
        </w:rPr>
        <w:t>教</w:t>
      </w:r>
      <w:r>
        <w:rPr>
          <w:b/>
          <w:sz w:val="84"/>
          <w:szCs w:val="84"/>
        </w:rPr>
        <w:t xml:space="preserve"> </w:t>
      </w:r>
      <w:r>
        <w:rPr>
          <w:rFonts w:hint="eastAsia"/>
          <w:b/>
          <w:sz w:val="84"/>
          <w:szCs w:val="84"/>
        </w:rPr>
        <w:t>务</w:t>
      </w:r>
      <w:r>
        <w:rPr>
          <w:b/>
          <w:sz w:val="84"/>
          <w:szCs w:val="84"/>
        </w:rPr>
        <w:t xml:space="preserve"> </w:t>
      </w:r>
      <w:r>
        <w:rPr>
          <w:rFonts w:hint="eastAsia"/>
          <w:b/>
          <w:sz w:val="84"/>
          <w:szCs w:val="84"/>
        </w:rPr>
        <w:t>通</w:t>
      </w:r>
      <w:r>
        <w:rPr>
          <w:b/>
          <w:sz w:val="84"/>
          <w:szCs w:val="84"/>
        </w:rPr>
        <w:t xml:space="preserve"> </w:t>
      </w:r>
      <w:r>
        <w:rPr>
          <w:rFonts w:hint="eastAsia"/>
          <w:b/>
          <w:sz w:val="84"/>
          <w:szCs w:val="84"/>
        </w:rPr>
        <w:t>知</w:t>
      </w:r>
    </w:p>
    <w:p>
      <w:pPr>
        <w:pStyle w:val="16"/>
        <w:spacing w:line="1000" w:lineRule="atLeast"/>
        <w:ind w:firstLine="562"/>
        <w:jc w:val="center"/>
        <w:rPr>
          <w:rFonts w:ascii="仿宋_GB2312" w:eastAsia="仿宋_GB2312" w:cs="仿宋_GB2312"/>
          <w:b/>
          <w:sz w:val="28"/>
          <w:szCs w:val="28"/>
        </w:rPr>
      </w:pPr>
      <w:r>
        <w:rPr>
          <w:rFonts w:hint="eastAsia" w:ascii="仿宋_GB2312" w:eastAsia="仿宋_GB2312" w:cs="仿宋_GB2312"/>
          <w:b/>
          <w:sz w:val="28"/>
          <w:szCs w:val="28"/>
        </w:rPr>
        <w:t>2017年第</w:t>
      </w:r>
      <w:r>
        <w:rPr>
          <w:rFonts w:hint="eastAsia" w:ascii="仿宋_GB2312" w:eastAsia="仿宋_GB2312" w:cs="仿宋_GB2312"/>
          <w:b/>
          <w:sz w:val="28"/>
          <w:szCs w:val="28"/>
          <w:lang w:val="en-US" w:eastAsia="zh-CN"/>
        </w:rPr>
        <w:t>14</w:t>
      </w:r>
      <w:bookmarkStart w:id="0" w:name="_GoBack"/>
      <w:bookmarkEnd w:id="0"/>
      <w:r>
        <w:rPr>
          <w:rFonts w:hint="eastAsia" w:ascii="仿宋_GB2312" w:eastAsia="仿宋_GB2312" w:cs="仿宋_GB2312"/>
          <w:b/>
          <w:sz w:val="28"/>
          <w:szCs w:val="28"/>
        </w:rPr>
        <w:t>号</w:t>
      </w:r>
    </w:p>
    <w:p>
      <w:pPr>
        <w:pStyle w:val="16"/>
        <w:spacing w:line="520" w:lineRule="atLeast"/>
        <w:ind w:right="-96" w:firstLine="0" w:firstLineChars="0"/>
        <w:jc w:val="center"/>
      </w:pPr>
      <w:r>
        <w:drawing>
          <wp:inline distT="0" distB="0" distL="0" distR="0">
            <wp:extent cx="5010150" cy="85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srcRect/>
                    <a:stretch>
                      <a:fillRect/>
                    </a:stretch>
                  </pic:blipFill>
                  <pic:spPr>
                    <a:xfrm>
                      <a:off x="0" y="0"/>
                      <a:ext cx="5010150" cy="85725"/>
                    </a:xfrm>
                    <a:prstGeom prst="rect">
                      <a:avLst/>
                    </a:prstGeom>
                    <a:noFill/>
                    <a:ln w="9525">
                      <a:noFill/>
                      <a:miter lim="800000"/>
                      <a:headEnd/>
                      <a:tailEnd/>
                    </a:ln>
                  </pic:spPr>
                </pic:pic>
              </a:graphicData>
            </a:graphic>
          </wp:inline>
        </w:drawing>
      </w:r>
    </w:p>
    <w:p>
      <w:pPr>
        <w:pStyle w:val="16"/>
        <w:spacing w:line="320" w:lineRule="exact"/>
        <w:ind w:right="-96" w:firstLine="641"/>
        <w:jc w:val="center"/>
        <w:rPr>
          <w:rFonts w:ascii="华文中宋" w:hAnsi="华文中宋" w:eastAsia="华文中宋" w:cs="华文中宋"/>
          <w:b/>
          <w:sz w:val="32"/>
          <w:szCs w:val="32"/>
        </w:rPr>
      </w:pPr>
    </w:p>
    <w:p>
      <w:pPr>
        <w:spacing w:line="80" w:lineRule="exact"/>
        <w:ind w:firstLine="640"/>
        <w:rPr>
          <w:rFonts w:ascii="黑体" w:hAnsi="黑体" w:eastAsia="黑体"/>
          <w:sz w:val="32"/>
        </w:rPr>
      </w:pPr>
    </w:p>
    <w:p>
      <w:pPr>
        <w:widowControl/>
        <w:spacing w:line="540" w:lineRule="atLeast"/>
        <w:jc w:val="center"/>
        <w:rPr>
          <w:rFonts w:ascii="黑体" w:hAnsi="黑体" w:eastAsia="黑体"/>
          <w:sz w:val="32"/>
        </w:rPr>
      </w:pPr>
      <w:r>
        <w:rPr>
          <w:rFonts w:ascii="黑体" w:hAnsi="黑体" w:eastAsia="黑体"/>
          <w:sz w:val="32"/>
        </w:rPr>
        <w:t>关于</w:t>
      </w:r>
      <w:r>
        <w:rPr>
          <w:rFonts w:hint="eastAsia" w:ascii="黑体" w:hAnsi="黑体" w:eastAsia="黑体"/>
          <w:sz w:val="32"/>
        </w:rPr>
        <w:t>新疆农业大学</w:t>
      </w:r>
      <w:r>
        <w:rPr>
          <w:rFonts w:ascii="黑体" w:hAnsi="黑体" w:eastAsia="黑体"/>
          <w:sz w:val="32"/>
        </w:rPr>
        <w:t>201</w:t>
      </w:r>
      <w:r>
        <w:rPr>
          <w:rFonts w:hint="eastAsia" w:ascii="黑体" w:hAnsi="黑体" w:eastAsia="黑体"/>
          <w:sz w:val="32"/>
        </w:rPr>
        <w:t>7</w:t>
      </w:r>
      <w:r>
        <w:rPr>
          <w:rFonts w:ascii="黑体" w:hAnsi="黑体" w:eastAsia="黑体"/>
          <w:sz w:val="32"/>
        </w:rPr>
        <w:t>届</w:t>
      </w:r>
      <w:r>
        <w:rPr>
          <w:rFonts w:hint="eastAsia" w:ascii="黑体" w:hAnsi="黑体" w:eastAsia="黑体"/>
          <w:sz w:val="32"/>
        </w:rPr>
        <w:t>本科毕业生</w:t>
      </w:r>
    </w:p>
    <w:p>
      <w:pPr>
        <w:widowControl/>
        <w:spacing w:line="540" w:lineRule="atLeast"/>
        <w:jc w:val="center"/>
        <w:rPr>
          <w:rFonts w:ascii="黑体" w:hAnsi="黑体" w:eastAsia="黑体"/>
          <w:sz w:val="32"/>
        </w:rPr>
      </w:pPr>
      <w:r>
        <w:rPr>
          <w:rFonts w:ascii="黑体" w:hAnsi="黑体" w:eastAsia="黑体"/>
          <w:sz w:val="32"/>
        </w:rPr>
        <w:t>学位论文相似性检测的通知</w:t>
      </w:r>
    </w:p>
    <w:p>
      <w:pPr>
        <w:widowControl/>
        <w:shd w:val="clear" w:color="auto" w:fill="FFFFFF"/>
        <w:tabs>
          <w:tab w:val="center" w:pos="4153"/>
        </w:tabs>
        <w:spacing w:before="100" w:after="100" w:line="560" w:lineRule="atLeast"/>
        <w:jc w:val="left"/>
        <w:rPr>
          <w:rFonts w:hint="eastAsia" w:ascii="微软雅黑" w:hAnsi="微软雅黑" w:cs="宋体"/>
          <w:color w:val="333333"/>
          <w:kern w:val="0"/>
          <w:sz w:val="28"/>
          <w:szCs w:val="28"/>
        </w:rPr>
      </w:pPr>
      <w:r>
        <w:rPr>
          <w:rFonts w:hint="eastAsia" w:ascii="仿宋_GB2312" w:hAnsi="宋体" w:eastAsia="仿宋_GB2312"/>
          <w:b/>
          <w:sz w:val="28"/>
          <w:szCs w:val="28"/>
        </w:rPr>
        <w:t>各学院：</w:t>
      </w:r>
      <w:r>
        <w:rPr>
          <w:rFonts w:hint="eastAsia" w:ascii="仿宋_GB2312" w:hAnsi="微软雅黑" w:eastAsia="仿宋_GB2312" w:cs="宋体"/>
          <w:color w:val="333333"/>
          <w:kern w:val="0"/>
          <w:sz w:val="28"/>
          <w:szCs w:val="28"/>
        </w:rPr>
        <w:tab/>
      </w:r>
    </w:p>
    <w:p>
      <w:pPr>
        <w:widowControl/>
        <w:snapToGrid w:val="0"/>
        <w:spacing w:line="500" w:lineRule="atLeast"/>
        <w:ind w:firstLine="480"/>
        <w:rPr>
          <w:rFonts w:ascii="仿宋_GB2312" w:eastAsia="仿宋_GB2312"/>
          <w:sz w:val="28"/>
        </w:rPr>
      </w:pPr>
      <w:r>
        <w:rPr>
          <w:rFonts w:hint="eastAsia" w:ascii="仿宋_GB2312" w:eastAsia="仿宋_GB2312"/>
          <w:sz w:val="28"/>
        </w:rPr>
        <w:t>大学生毕业（学位）论文质量是高等教育“质量工程”建设的重要内容。为进一步加强学风建设、规范学术行为，严明学术纪律，杜绝学位论文造假、抄袭剽窃等学术不端行为，提高我校本科毕业论文质量，现决定对新疆农业大学</w:t>
      </w:r>
      <w:r>
        <w:rPr>
          <w:rFonts w:ascii="仿宋_GB2312" w:eastAsia="仿宋_GB2312"/>
          <w:sz w:val="28"/>
        </w:rPr>
        <w:t>201</w:t>
      </w:r>
      <w:r>
        <w:rPr>
          <w:rFonts w:hint="eastAsia" w:ascii="仿宋_GB2312" w:eastAsia="仿宋_GB2312"/>
          <w:sz w:val="28"/>
        </w:rPr>
        <w:t>7年拟申请学士学位答辩的毕业生进行学位论文相似性检测。现将有关事项通知如下：</w:t>
      </w:r>
    </w:p>
    <w:p>
      <w:pPr>
        <w:widowControl/>
        <w:shd w:val="clear" w:color="auto" w:fill="FFFFFF"/>
        <w:spacing w:before="100" w:after="100" w:line="560" w:lineRule="atLeast"/>
        <w:ind w:firstLine="643"/>
        <w:jc w:val="left"/>
        <w:rPr>
          <w:rFonts w:hint="eastAsia" w:ascii="微软雅黑" w:hAnsi="微软雅黑" w:cs="宋体"/>
          <w:color w:val="333333"/>
          <w:kern w:val="0"/>
          <w:sz w:val="28"/>
          <w:szCs w:val="28"/>
        </w:rPr>
      </w:pPr>
      <w:r>
        <w:rPr>
          <w:rFonts w:hint="eastAsia" w:ascii="仿宋_GB2312" w:hAnsi="微软雅黑" w:eastAsia="仿宋_GB2312" w:cs="宋体"/>
          <w:b/>
          <w:bCs/>
          <w:color w:val="333333"/>
          <w:kern w:val="0"/>
          <w:sz w:val="28"/>
          <w:szCs w:val="28"/>
        </w:rPr>
        <w:t>一、检测对象</w:t>
      </w:r>
    </w:p>
    <w:p>
      <w:pPr>
        <w:widowControl/>
        <w:shd w:val="clear" w:color="auto" w:fill="FFFFFF"/>
        <w:spacing w:before="100" w:after="100" w:line="560" w:lineRule="atLeast"/>
        <w:ind w:firstLine="640"/>
        <w:jc w:val="left"/>
        <w:rPr>
          <w:rFonts w:ascii="仿宋_GB2312" w:eastAsia="仿宋_GB2312"/>
          <w:sz w:val="28"/>
        </w:rPr>
      </w:pPr>
      <w:r>
        <w:rPr>
          <w:rFonts w:hint="eastAsia" w:ascii="仿宋_GB2312" w:hAnsi="微软雅黑" w:eastAsia="仿宋_GB2312" w:cs="宋体"/>
          <w:color w:val="333333"/>
          <w:kern w:val="0"/>
          <w:sz w:val="28"/>
          <w:szCs w:val="28"/>
        </w:rPr>
        <w:t>2</w:t>
      </w:r>
      <w:r>
        <w:rPr>
          <w:rFonts w:hint="eastAsia" w:ascii="仿宋_GB2312" w:eastAsia="仿宋_GB2312"/>
          <w:sz w:val="28"/>
        </w:rPr>
        <w:t>012、2013级申请学士学位的全日制本科生（包括民、汉）的学位论文。</w:t>
      </w:r>
    </w:p>
    <w:p>
      <w:pPr>
        <w:widowControl/>
        <w:shd w:val="clear" w:color="auto" w:fill="FFFFFF"/>
        <w:spacing w:before="100" w:after="100" w:line="560" w:lineRule="atLeast"/>
        <w:ind w:firstLine="643"/>
        <w:jc w:val="left"/>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二、检测鉴定委托单位</w:t>
      </w:r>
    </w:p>
    <w:p>
      <w:pPr>
        <w:widowControl/>
        <w:shd w:val="clear" w:color="auto" w:fill="FFFFFF"/>
        <w:spacing w:before="100" w:after="100" w:line="560" w:lineRule="atLeast"/>
        <w:ind w:firstLine="643"/>
        <w:jc w:val="left"/>
        <w:rPr>
          <w:rFonts w:ascii="仿宋_GB2312" w:eastAsia="仿宋_GB2312"/>
          <w:sz w:val="28"/>
        </w:rPr>
      </w:pPr>
      <w:r>
        <w:rPr>
          <w:rFonts w:hint="eastAsia" w:ascii="仿宋_GB2312" w:eastAsia="仿宋_GB2312"/>
          <w:sz w:val="28"/>
        </w:rPr>
        <w:t>图书馆</w:t>
      </w:r>
    </w:p>
    <w:p>
      <w:pPr>
        <w:widowControl/>
        <w:shd w:val="clear" w:color="auto" w:fill="FFFFFF"/>
        <w:spacing w:before="100" w:after="100" w:line="560" w:lineRule="atLeast"/>
        <w:ind w:firstLine="643"/>
        <w:jc w:val="left"/>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三、检测时间安排</w:t>
      </w:r>
    </w:p>
    <w:p>
      <w:pPr>
        <w:widowControl/>
        <w:shd w:val="clear" w:color="auto" w:fill="FFFFFF"/>
        <w:spacing w:before="100" w:after="100" w:line="560" w:lineRule="atLeast"/>
        <w:ind w:firstLine="643"/>
        <w:jc w:val="left"/>
        <w:rPr>
          <w:rFonts w:ascii="仿宋_GB2312" w:eastAsia="仿宋_GB2312"/>
          <w:sz w:val="28"/>
        </w:rPr>
      </w:pPr>
      <w:r>
        <w:rPr>
          <w:rFonts w:hint="eastAsia" w:ascii="仿宋_GB2312" w:eastAsia="仿宋_GB2312"/>
          <w:sz w:val="28"/>
        </w:rPr>
        <w:t>2017年4月20日-5月20日</w:t>
      </w:r>
    </w:p>
    <w:p>
      <w:pPr>
        <w:widowControl/>
        <w:shd w:val="clear" w:color="auto" w:fill="FFFFFF"/>
        <w:spacing w:before="100" w:after="100" w:line="560" w:lineRule="atLeast"/>
        <w:ind w:firstLine="643"/>
        <w:jc w:val="left"/>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四、检测工作程序</w:t>
      </w:r>
    </w:p>
    <w:p>
      <w:pPr>
        <w:widowControl/>
        <w:snapToGrid w:val="0"/>
        <w:spacing w:line="500" w:lineRule="atLeast"/>
        <w:ind w:firstLine="480"/>
        <w:rPr>
          <w:rFonts w:ascii="仿宋_GB2312" w:eastAsia="仿宋_GB2312"/>
          <w:sz w:val="28"/>
        </w:rPr>
      </w:pPr>
      <w:r>
        <w:rPr>
          <w:rFonts w:hint="eastAsia" w:ascii="仿宋_GB2312" w:eastAsia="仿宋_GB2312"/>
          <w:sz w:val="28"/>
        </w:rPr>
        <w:t>（一）申请人员向学院提交送检材料</w:t>
      </w:r>
    </w:p>
    <w:p>
      <w:pPr>
        <w:widowControl/>
        <w:snapToGrid w:val="0"/>
        <w:spacing w:line="500" w:lineRule="atLeast"/>
        <w:ind w:firstLine="480"/>
        <w:rPr>
          <w:rFonts w:ascii="仿宋_GB2312" w:eastAsia="仿宋_GB2312"/>
          <w:sz w:val="28"/>
        </w:rPr>
      </w:pPr>
      <w:r>
        <w:rPr>
          <w:rFonts w:hint="eastAsia" w:ascii="仿宋_GB2312" w:eastAsia="仿宋_GB2312"/>
          <w:sz w:val="28"/>
        </w:rPr>
        <w:t>学位申请人员向学院提交学位论文的电子版（WORD或PDF），电子版必须为学位论文的正文部分（除去封面、目录、参考文献、附录、致谢、公开发表论文等），个人材料统一命名为“学院-班级-学号-作者姓名-论文题目.doc/docx/pdf”。各学院教学秘书集中学生的电子版论文汇总成班级文件包，班级文件包统一命名为“××班级</w:t>
      </w:r>
      <w:r>
        <w:rPr>
          <w:rFonts w:ascii="仿宋_GB2312" w:eastAsia="仿宋_GB2312"/>
          <w:sz w:val="28"/>
        </w:rPr>
        <w:t>----</w:t>
      </w:r>
      <w:r>
        <w:rPr>
          <w:rFonts w:hint="eastAsia" w:ascii="仿宋_GB2312" w:eastAsia="仿宋_GB2312"/>
          <w:sz w:val="28"/>
        </w:rPr>
        <w:t>本科生检测”。</w:t>
      </w:r>
    </w:p>
    <w:p>
      <w:pPr>
        <w:widowControl/>
        <w:snapToGrid w:val="0"/>
        <w:spacing w:line="500" w:lineRule="atLeast"/>
        <w:ind w:firstLine="480"/>
        <w:rPr>
          <w:rFonts w:ascii="仿宋_GB2312" w:eastAsia="仿宋_GB2312"/>
          <w:sz w:val="28"/>
        </w:rPr>
      </w:pPr>
      <w:r>
        <w:rPr>
          <w:rFonts w:hint="eastAsia" w:ascii="仿宋_GB2312" w:eastAsia="仿宋_GB2312"/>
          <w:sz w:val="28"/>
        </w:rPr>
        <w:t>（二）各学院教学秘书集中各个班级毕业论文及本学院《新疆农业大学学位论文相似性检测汇总表》（见附件1），发至图书馆对口联系人员QQ邮箱。所有文件汇总为一个文件包，统一命名为“学院名称</w:t>
      </w:r>
      <w:r>
        <w:rPr>
          <w:rFonts w:ascii="仿宋_GB2312" w:eastAsia="仿宋_GB2312"/>
          <w:sz w:val="28"/>
        </w:rPr>
        <w:t>----</w:t>
      </w:r>
      <w:r>
        <w:rPr>
          <w:rFonts w:hint="eastAsia" w:ascii="仿宋_GB2312" w:eastAsia="仿宋_GB2312"/>
          <w:sz w:val="28"/>
        </w:rPr>
        <w:t>本科生检测”。</w:t>
      </w:r>
    </w:p>
    <w:p>
      <w:pPr>
        <w:widowControl/>
        <w:snapToGrid w:val="0"/>
        <w:spacing w:line="500" w:lineRule="atLeast"/>
        <w:ind w:firstLine="480"/>
        <w:rPr>
          <w:rFonts w:ascii="仿宋_GB2312" w:eastAsia="仿宋_GB2312"/>
          <w:sz w:val="28"/>
        </w:rPr>
      </w:pPr>
      <w:r>
        <w:rPr>
          <w:rFonts w:hint="eastAsia" w:ascii="仿宋_GB2312" w:eastAsia="仿宋_GB2312"/>
          <w:sz w:val="28"/>
        </w:rPr>
        <w:t>（三）图书馆对学位申请人提交的论文进行检测，检测工作由系统自动完成。</w:t>
      </w:r>
    </w:p>
    <w:p>
      <w:pPr>
        <w:widowControl/>
        <w:snapToGrid w:val="0"/>
        <w:spacing w:line="500" w:lineRule="atLeast"/>
        <w:ind w:firstLine="480"/>
        <w:rPr>
          <w:rFonts w:ascii="仿宋_GB2312" w:eastAsia="仿宋_GB2312"/>
          <w:sz w:val="28"/>
        </w:rPr>
      </w:pPr>
      <w:r>
        <w:rPr>
          <w:rFonts w:hint="eastAsia" w:ascii="仿宋_GB2312" w:eastAsia="仿宋_GB2312"/>
          <w:sz w:val="28"/>
        </w:rPr>
        <w:t>（四）图书馆根据检测结果出具书面检测报告，出具的检测结果为全文标明引文报告单，并在报告上加盖“新疆农业大学图书馆科技查新专用章”公章后，将检测结果及《新疆农业大学学位论文相似性检测汇总表》统一向送检学院及学校进行反馈。</w:t>
      </w:r>
    </w:p>
    <w:p>
      <w:pPr>
        <w:widowControl/>
        <w:shd w:val="clear" w:color="auto" w:fill="FFFFFF"/>
        <w:spacing w:before="100" w:after="100" w:line="560" w:lineRule="atLeast"/>
        <w:ind w:firstLine="643"/>
        <w:jc w:val="left"/>
        <w:rPr>
          <w:rFonts w:ascii="仿宋_GB2312" w:eastAsia="仿宋_GB2312"/>
          <w:sz w:val="28"/>
        </w:rPr>
      </w:pPr>
      <w:r>
        <w:rPr>
          <w:rFonts w:hint="eastAsia" w:ascii="仿宋_GB2312" w:eastAsia="仿宋_GB2312"/>
          <w:sz w:val="28"/>
        </w:rPr>
        <w:t>(五)说明</w:t>
      </w:r>
    </w:p>
    <w:p>
      <w:pPr>
        <w:widowControl/>
        <w:snapToGrid w:val="0"/>
        <w:spacing w:line="500" w:lineRule="atLeast"/>
        <w:ind w:firstLine="480"/>
        <w:rPr>
          <w:rFonts w:ascii="仿宋_GB2312" w:eastAsia="仿宋_GB2312"/>
          <w:sz w:val="28"/>
        </w:rPr>
      </w:pPr>
      <w:r>
        <w:rPr>
          <w:rFonts w:hint="eastAsia" w:ascii="仿宋_GB2312" w:eastAsia="仿宋_GB2312"/>
          <w:sz w:val="28"/>
        </w:rPr>
        <w:t>1.学院应保证学生参加答辩的论文正文内容和送检论文正文内容完全一致。</w:t>
      </w:r>
    </w:p>
    <w:p>
      <w:pPr>
        <w:widowControl/>
        <w:snapToGrid w:val="0"/>
        <w:spacing w:line="500" w:lineRule="atLeast"/>
        <w:ind w:firstLine="480"/>
        <w:rPr>
          <w:rFonts w:ascii="仿宋_GB2312" w:eastAsia="仿宋_GB2312"/>
          <w:sz w:val="28"/>
        </w:rPr>
      </w:pPr>
      <w:r>
        <w:rPr>
          <w:rFonts w:hint="eastAsia" w:ascii="仿宋_GB2312" w:eastAsia="仿宋_GB2312"/>
          <w:sz w:val="28"/>
        </w:rPr>
        <w:t>2.每篇学位论文可免费检测2次（不收取系统检测费，图书馆仅收取5元/篇/次的耗材费）。2次免费检测均只接受学院的集体委托。</w:t>
      </w:r>
    </w:p>
    <w:p>
      <w:pPr>
        <w:widowControl/>
        <w:snapToGrid w:val="0"/>
        <w:spacing w:line="500" w:lineRule="atLeast"/>
        <w:ind w:firstLine="480"/>
        <w:rPr>
          <w:rFonts w:ascii="仿宋_GB2312" w:eastAsia="仿宋_GB2312"/>
          <w:sz w:val="28"/>
        </w:rPr>
      </w:pPr>
      <w:r>
        <w:rPr>
          <w:rFonts w:hint="eastAsia" w:ascii="仿宋_GB2312" w:eastAsia="仿宋_GB2312"/>
          <w:sz w:val="28"/>
        </w:rPr>
        <w:t>3.图书馆信息咨询部也可接受学生个人检测委托，学生可自行前往图书馆进行检测，图书馆收取20元/篇的检测费（不再另收耗材费）。</w:t>
      </w:r>
    </w:p>
    <w:p>
      <w:pPr>
        <w:widowControl/>
        <w:shd w:val="clear" w:color="auto" w:fill="FFFFFF"/>
        <w:spacing w:before="100" w:after="100" w:line="560" w:lineRule="atLeast"/>
        <w:jc w:val="left"/>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五、检测系统</w:t>
      </w:r>
    </w:p>
    <w:p>
      <w:pPr>
        <w:widowControl/>
        <w:shd w:val="clear" w:color="auto" w:fill="FFFFFF"/>
        <w:spacing w:before="100" w:after="100" w:line="560" w:lineRule="atLeast"/>
        <w:ind w:firstLine="560" w:firstLineChars="200"/>
        <w:jc w:val="left"/>
        <w:rPr>
          <w:rFonts w:ascii="仿宋_GB2312" w:eastAsia="仿宋_GB2312"/>
          <w:sz w:val="28"/>
        </w:rPr>
      </w:pPr>
      <w:r>
        <w:rPr>
          <w:rFonts w:hint="eastAsia" w:ascii="仿宋_GB2312" w:eastAsia="仿宋_GB2312"/>
          <w:sz w:val="28"/>
        </w:rPr>
        <w:t>CNKI大学生论文检测系统</w:t>
      </w:r>
    </w:p>
    <w:p>
      <w:pPr>
        <w:widowControl/>
        <w:shd w:val="clear" w:color="auto" w:fill="FFFFFF"/>
        <w:spacing w:before="100" w:after="100" w:line="560" w:lineRule="atLeast"/>
        <w:jc w:val="left"/>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六、检测结果的认定</w:t>
      </w:r>
    </w:p>
    <w:p>
      <w:pPr>
        <w:widowControl/>
        <w:snapToGrid w:val="0"/>
        <w:spacing w:line="500" w:lineRule="atLeast"/>
        <w:ind w:firstLine="480"/>
        <w:rPr>
          <w:rFonts w:ascii="仿宋_GB2312" w:eastAsia="仿宋_GB2312"/>
          <w:sz w:val="28"/>
        </w:rPr>
      </w:pPr>
      <w:r>
        <w:rPr>
          <w:rFonts w:hint="eastAsia" w:ascii="仿宋_GB2312" w:eastAsia="仿宋_GB2312"/>
          <w:sz w:val="28"/>
        </w:rPr>
        <w:t>（一）对检测结果的认定要求为：</w:t>
      </w:r>
    </w:p>
    <w:p>
      <w:pPr>
        <w:widowControl/>
        <w:snapToGrid w:val="0"/>
        <w:spacing w:line="500" w:lineRule="atLeast"/>
        <w:ind w:firstLine="560" w:firstLineChars="200"/>
        <w:rPr>
          <w:rFonts w:ascii="仿宋_GB2312" w:eastAsia="仿宋_GB2312"/>
          <w:sz w:val="28"/>
        </w:rPr>
      </w:pPr>
      <w:r>
        <w:rPr>
          <w:rFonts w:hint="eastAsia" w:ascii="仿宋_GB2312" w:eastAsia="仿宋_GB2312"/>
          <w:sz w:val="28"/>
        </w:rPr>
        <w:t>学士学位论文的总文字复制比原则上应小于或等于</w:t>
      </w:r>
      <w:r>
        <w:rPr>
          <w:rFonts w:ascii="仿宋_GB2312" w:eastAsia="仿宋_GB2312"/>
          <w:sz w:val="28"/>
        </w:rPr>
        <w:t>40%</w:t>
      </w:r>
      <w:r>
        <w:rPr>
          <w:rFonts w:hint="eastAsia" w:ascii="仿宋_GB2312" w:eastAsia="仿宋_GB2312"/>
          <w:sz w:val="28"/>
        </w:rPr>
        <w:t>，优秀学士学位论文的总文字复制比必须小于或等于3</w:t>
      </w:r>
      <w:r>
        <w:rPr>
          <w:rFonts w:ascii="仿宋_GB2312" w:eastAsia="仿宋_GB2312"/>
          <w:sz w:val="28"/>
        </w:rPr>
        <w:t>0%</w:t>
      </w:r>
      <w:r>
        <w:rPr>
          <w:rFonts w:hint="eastAsia" w:ascii="仿宋_GB2312" w:eastAsia="仿宋_GB2312"/>
          <w:sz w:val="28"/>
        </w:rPr>
        <w:t>（与申报人本人的期刊论文或学位论文的重合部分，不计算复制比）。总文字复制比超过40%的论文，将由学院答辩委员会根据学士学位论文的实际情况判定是否合格。</w:t>
      </w:r>
    </w:p>
    <w:p>
      <w:pPr>
        <w:widowControl/>
        <w:snapToGrid w:val="0"/>
        <w:spacing w:line="500" w:lineRule="atLeast"/>
        <w:ind w:firstLine="560" w:firstLineChars="200"/>
        <w:rPr>
          <w:rFonts w:ascii="仿宋_GB2312" w:eastAsia="仿宋_GB2312"/>
          <w:sz w:val="28"/>
        </w:rPr>
      </w:pPr>
      <w:r>
        <w:rPr>
          <w:rFonts w:hint="eastAsia" w:ascii="仿宋_GB2312" w:eastAsia="仿宋_GB2312"/>
          <w:sz w:val="28"/>
        </w:rPr>
        <w:t>（二）检测报告作为学位申请人员参加学位论文答辩的重要佐证材料，无加盖“新疆农业大学图书馆科技查新专用章”的检测报告者不准参加答辩。检测结果将由检测鉴定单位反馈给学院和学校。</w:t>
      </w:r>
    </w:p>
    <w:p>
      <w:pPr>
        <w:widowControl/>
        <w:shd w:val="clear" w:color="auto" w:fill="FFFFFF"/>
        <w:spacing w:before="100" w:after="100" w:line="560" w:lineRule="atLeast"/>
        <w:jc w:val="left"/>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七、检测地点及联系方式</w:t>
      </w:r>
    </w:p>
    <w:p>
      <w:pPr>
        <w:widowControl/>
        <w:snapToGrid w:val="0"/>
        <w:spacing w:line="500" w:lineRule="atLeast"/>
        <w:ind w:firstLine="480"/>
        <w:rPr>
          <w:rFonts w:ascii="仿宋_GB2312" w:eastAsia="仿宋_GB2312"/>
          <w:sz w:val="28"/>
        </w:rPr>
      </w:pPr>
      <w:r>
        <w:rPr>
          <w:rFonts w:hint="eastAsia" w:ascii="仿宋_GB2312" w:eastAsia="仿宋_GB2312"/>
          <w:sz w:val="28"/>
        </w:rPr>
        <w:t>本次检测将采用专人负责的方式，具体检测地点及联系人如下：</w:t>
      </w:r>
    </w:p>
    <w:p>
      <w:pPr>
        <w:widowControl/>
        <w:snapToGrid w:val="0"/>
        <w:spacing w:line="500" w:lineRule="atLeast"/>
        <w:ind w:firstLine="480"/>
        <w:rPr>
          <w:rFonts w:ascii="仿宋_GB2312" w:eastAsia="仿宋_GB2312"/>
          <w:sz w:val="28"/>
        </w:rPr>
      </w:pPr>
      <w:r>
        <w:rPr>
          <w:rFonts w:hint="eastAsia" w:ascii="仿宋_GB2312" w:eastAsia="仿宋_GB2312"/>
          <w:sz w:val="28"/>
        </w:rPr>
        <w:t>地点：图书馆二楼信息咨询与教学研究部</w:t>
      </w:r>
    </w:p>
    <w:p>
      <w:pPr>
        <w:widowControl/>
        <w:snapToGrid w:val="0"/>
        <w:spacing w:line="500" w:lineRule="atLeast"/>
        <w:ind w:firstLine="480"/>
        <w:rPr>
          <w:rFonts w:ascii="仿宋_GB2312" w:eastAsia="仿宋_GB2312"/>
          <w:sz w:val="28"/>
        </w:rPr>
      </w:pPr>
      <w:r>
        <w:rPr>
          <w:rFonts w:hint="eastAsia" w:ascii="仿宋_GB2312" w:eastAsia="仿宋_GB2312"/>
          <w:sz w:val="28"/>
        </w:rPr>
        <w:t>总联系人：李艳菊</w:t>
      </w:r>
    </w:p>
    <w:p>
      <w:pPr>
        <w:widowControl/>
        <w:snapToGrid w:val="0"/>
        <w:spacing w:line="500" w:lineRule="atLeast"/>
        <w:ind w:firstLine="480"/>
        <w:rPr>
          <w:rFonts w:ascii="仿宋_GB2312" w:eastAsia="仿宋_GB2312"/>
          <w:sz w:val="28"/>
        </w:rPr>
      </w:pPr>
      <w:r>
        <w:rPr>
          <w:rFonts w:hint="eastAsia" w:ascii="仿宋_GB2312" w:eastAsia="仿宋_GB2312"/>
          <w:sz w:val="28"/>
        </w:rPr>
        <w:t>电话：</w:t>
      </w:r>
      <w:r>
        <w:rPr>
          <w:rFonts w:ascii="仿宋_GB2312" w:eastAsia="仿宋_GB2312"/>
          <w:sz w:val="28"/>
        </w:rPr>
        <w:t>0991-8762341-20</w:t>
      </w:r>
      <w:r>
        <w:rPr>
          <w:rFonts w:hint="eastAsia" w:ascii="仿宋_GB2312" w:eastAsia="仿宋_GB2312"/>
          <w:sz w:val="28"/>
        </w:rPr>
        <w:t>5</w:t>
      </w:r>
    </w:p>
    <w:p>
      <w:pPr>
        <w:widowControl/>
        <w:snapToGrid w:val="0"/>
        <w:spacing w:line="500" w:lineRule="atLeast"/>
        <w:ind w:firstLine="480"/>
        <w:rPr>
          <w:rFonts w:ascii="仿宋_GB2312" w:eastAsia="仿宋_GB2312"/>
          <w:sz w:val="28"/>
        </w:rPr>
      </w:pPr>
      <w:r>
        <w:rPr>
          <w:rFonts w:hint="eastAsia" w:ascii="仿宋_GB2312" w:eastAsia="仿宋_GB2312"/>
          <w:sz w:val="28"/>
        </w:rPr>
        <w:t>各学院对口联系人：</w:t>
      </w:r>
    </w:p>
    <w:p>
      <w:pPr>
        <w:widowControl/>
        <w:snapToGrid w:val="0"/>
        <w:spacing w:line="500" w:lineRule="atLeast"/>
        <w:ind w:firstLine="480"/>
        <w:rPr>
          <w:rFonts w:ascii="仿宋_GB2312" w:eastAsia="仿宋_GB2312"/>
          <w:sz w:val="28"/>
        </w:rPr>
      </w:pPr>
      <w:r>
        <w:rPr>
          <w:rFonts w:hint="eastAsia" w:ascii="仿宋_GB2312" w:eastAsia="仿宋_GB2312"/>
          <w:sz w:val="28"/>
        </w:rPr>
        <w:t>1.农学院、化工学院------张慧玲   QQ：</w:t>
      </w:r>
      <w:r>
        <w:rPr>
          <w:rFonts w:ascii="仿宋_GB2312" w:eastAsia="仿宋_GB2312"/>
          <w:sz w:val="28"/>
        </w:rPr>
        <w:t>2813776763</w:t>
      </w:r>
    </w:p>
    <w:p>
      <w:pPr>
        <w:widowControl/>
        <w:snapToGrid w:val="0"/>
        <w:spacing w:line="500" w:lineRule="atLeast"/>
        <w:ind w:firstLine="480"/>
        <w:rPr>
          <w:rFonts w:ascii="仿宋_GB2312" w:eastAsia="仿宋_GB2312"/>
          <w:sz w:val="28"/>
        </w:rPr>
      </w:pPr>
      <w:r>
        <w:rPr>
          <w:rFonts w:hint="eastAsia" w:ascii="仿宋_GB2312" w:eastAsia="仿宋_GB2312"/>
          <w:sz w:val="28"/>
        </w:rPr>
        <w:t>2.食药学院、中语学院------ 孙挺  QQ：</w:t>
      </w:r>
      <w:r>
        <w:rPr>
          <w:rFonts w:ascii="仿宋_GB2312" w:eastAsia="仿宋_GB2312"/>
          <w:sz w:val="28"/>
        </w:rPr>
        <w:t>48011208</w:t>
      </w:r>
    </w:p>
    <w:p>
      <w:pPr>
        <w:widowControl/>
        <w:snapToGrid w:val="0"/>
        <w:spacing w:line="500" w:lineRule="atLeast"/>
        <w:ind w:firstLine="480"/>
        <w:rPr>
          <w:rFonts w:ascii="仿宋_GB2312" w:eastAsia="仿宋_GB2312"/>
          <w:sz w:val="28"/>
        </w:rPr>
      </w:pPr>
      <w:r>
        <w:rPr>
          <w:rFonts w:hint="eastAsia" w:ascii="仿宋_GB2312" w:eastAsia="仿宋_GB2312"/>
          <w:sz w:val="28"/>
        </w:rPr>
        <w:t>3.外语学院、动医学院、计算机学院------张燕飞QQ：</w:t>
      </w:r>
      <w:r>
        <w:rPr>
          <w:rFonts w:ascii="仿宋_GB2312" w:eastAsia="仿宋_GB2312"/>
          <w:sz w:val="28"/>
        </w:rPr>
        <w:t>1184952453</w:t>
      </w:r>
    </w:p>
    <w:p>
      <w:pPr>
        <w:widowControl/>
        <w:snapToGrid w:val="0"/>
        <w:spacing w:line="500" w:lineRule="atLeast"/>
        <w:ind w:firstLine="480"/>
        <w:rPr>
          <w:rFonts w:ascii="仿宋_GB2312" w:eastAsia="仿宋_GB2312"/>
          <w:sz w:val="28"/>
        </w:rPr>
      </w:pPr>
      <w:r>
        <w:rPr>
          <w:rFonts w:hint="eastAsia" w:ascii="仿宋_GB2312" w:eastAsia="仿宋_GB2312"/>
          <w:sz w:val="28"/>
        </w:rPr>
        <w:t>4.经贸学院、数理学院、机交学院----努尔古丽QQ：1579372367</w:t>
      </w:r>
    </w:p>
    <w:p>
      <w:pPr>
        <w:widowControl/>
        <w:snapToGrid w:val="0"/>
        <w:spacing w:line="500" w:lineRule="atLeast"/>
        <w:ind w:firstLine="480"/>
        <w:rPr>
          <w:rFonts w:ascii="仿宋_GB2312" w:eastAsia="仿宋_GB2312"/>
          <w:sz w:val="28"/>
        </w:rPr>
      </w:pPr>
      <w:r>
        <w:rPr>
          <w:rFonts w:hint="eastAsia" w:ascii="仿宋_GB2312" w:eastAsia="仿宋_GB2312"/>
          <w:sz w:val="28"/>
        </w:rPr>
        <w:t>5.草环学院、动科学院---努孜古丽·图尔荪 QQ：</w:t>
      </w:r>
      <w:r>
        <w:rPr>
          <w:rFonts w:ascii="仿宋_GB2312" w:eastAsia="仿宋_GB2312"/>
          <w:sz w:val="28"/>
        </w:rPr>
        <w:t>1161907366</w:t>
      </w:r>
    </w:p>
    <w:p>
      <w:pPr>
        <w:widowControl/>
        <w:snapToGrid w:val="0"/>
        <w:spacing w:line="500" w:lineRule="atLeast"/>
        <w:ind w:firstLine="480"/>
        <w:rPr>
          <w:rFonts w:ascii="仿宋_GB2312" w:eastAsia="仿宋_GB2312"/>
          <w:sz w:val="28"/>
        </w:rPr>
      </w:pPr>
      <w:r>
        <w:rPr>
          <w:rFonts w:hint="eastAsia" w:ascii="仿宋_GB2312" w:eastAsia="仿宋_GB2312"/>
          <w:sz w:val="28"/>
        </w:rPr>
        <w:t>6.管理学院、林园学院----吐尔尼亚孜  QQ：</w:t>
      </w:r>
      <w:r>
        <w:rPr>
          <w:rFonts w:ascii="仿宋_GB2312" w:eastAsia="仿宋_GB2312"/>
          <w:sz w:val="28"/>
        </w:rPr>
        <w:t>467071914</w:t>
      </w:r>
    </w:p>
    <w:p>
      <w:pPr>
        <w:widowControl/>
        <w:shd w:val="clear" w:color="auto" w:fill="FFFFFF"/>
        <w:spacing w:before="100" w:after="100" w:line="560" w:lineRule="atLeast"/>
        <w:ind w:firstLine="5116" w:firstLineChars="1827"/>
        <w:jc w:val="left"/>
        <w:rPr>
          <w:rFonts w:hint="eastAsia" w:ascii="仿宋_GB2312" w:eastAsia="仿宋_GB2312"/>
          <w:sz w:val="28"/>
        </w:rPr>
      </w:pPr>
    </w:p>
    <w:p>
      <w:pPr>
        <w:widowControl/>
        <w:snapToGrid w:val="0"/>
        <w:spacing w:line="500" w:lineRule="atLeast"/>
        <w:ind w:firstLine="480"/>
        <w:rPr>
          <w:rFonts w:ascii="仿宋_GB2312" w:eastAsia="仿宋_GB2312"/>
          <w:sz w:val="28"/>
        </w:rPr>
      </w:pPr>
      <w:r>
        <w:rPr>
          <w:rFonts w:hint="eastAsia" w:ascii="仿宋_GB2312" w:eastAsia="仿宋_GB2312"/>
          <w:sz w:val="28"/>
        </w:rPr>
        <w:t>附件1：2017年本科生毕业论文相似性检测汇总表</w:t>
      </w:r>
    </w:p>
    <w:p>
      <w:pPr>
        <w:widowControl/>
        <w:shd w:val="clear" w:color="auto" w:fill="FFFFFF"/>
        <w:spacing w:before="100" w:after="100" w:line="560" w:lineRule="atLeast"/>
        <w:ind w:firstLine="5116" w:firstLineChars="1827"/>
        <w:jc w:val="left"/>
        <w:rPr>
          <w:rFonts w:ascii="仿宋_GB2312" w:eastAsia="仿宋_GB2312"/>
          <w:sz w:val="28"/>
        </w:rPr>
      </w:pPr>
      <w:r>
        <w:rPr>
          <w:rFonts w:hint="eastAsia" w:ascii="仿宋_GB2312" w:eastAsia="仿宋_GB2312"/>
          <w:sz w:val="28"/>
        </w:rPr>
        <w:t>教务处    图书馆</w:t>
      </w:r>
    </w:p>
    <w:p>
      <w:pPr>
        <w:widowControl/>
        <w:shd w:val="clear" w:color="auto" w:fill="FFFFFF"/>
        <w:spacing w:before="100" w:after="100" w:line="560" w:lineRule="atLeast"/>
        <w:ind w:firstLine="640"/>
        <w:jc w:val="left"/>
        <w:rPr>
          <w:rFonts w:ascii="仿宋_GB2312" w:eastAsia="仿宋_GB2312"/>
          <w:sz w:val="28"/>
        </w:rPr>
      </w:pPr>
      <w:r>
        <w:rPr>
          <w:rFonts w:hint="eastAsia" w:ascii="仿宋_GB2312" w:eastAsia="仿宋_GB2312"/>
          <w:sz w:val="28"/>
        </w:rPr>
        <w:t xml:space="preserve">                                2017年4月20日</w:t>
      </w:r>
    </w:p>
    <w:sectPr>
      <w:pgSz w:w="11906" w:h="16838"/>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B35"/>
    <w:rsid w:val="00026FBA"/>
    <w:rsid w:val="00027635"/>
    <w:rsid w:val="00051490"/>
    <w:rsid w:val="00051816"/>
    <w:rsid w:val="00056105"/>
    <w:rsid w:val="0009619D"/>
    <w:rsid w:val="000B1EF9"/>
    <w:rsid w:val="000B32CC"/>
    <w:rsid w:val="00111CA5"/>
    <w:rsid w:val="001148C9"/>
    <w:rsid w:val="00181128"/>
    <w:rsid w:val="00181B8D"/>
    <w:rsid w:val="0018723D"/>
    <w:rsid w:val="00195E66"/>
    <w:rsid w:val="001A0CE9"/>
    <w:rsid w:val="001F28EE"/>
    <w:rsid w:val="002142D0"/>
    <w:rsid w:val="00225991"/>
    <w:rsid w:val="00234244"/>
    <w:rsid w:val="00251920"/>
    <w:rsid w:val="002D3D33"/>
    <w:rsid w:val="002E600E"/>
    <w:rsid w:val="00301528"/>
    <w:rsid w:val="00302A06"/>
    <w:rsid w:val="0030629E"/>
    <w:rsid w:val="003242F8"/>
    <w:rsid w:val="00337D87"/>
    <w:rsid w:val="003625E5"/>
    <w:rsid w:val="00376F0A"/>
    <w:rsid w:val="00381876"/>
    <w:rsid w:val="00390668"/>
    <w:rsid w:val="003A2E69"/>
    <w:rsid w:val="003B485D"/>
    <w:rsid w:val="003C213A"/>
    <w:rsid w:val="0040786A"/>
    <w:rsid w:val="0044294D"/>
    <w:rsid w:val="0045057B"/>
    <w:rsid w:val="0045701F"/>
    <w:rsid w:val="00457F8B"/>
    <w:rsid w:val="00491640"/>
    <w:rsid w:val="004A4A22"/>
    <w:rsid w:val="004B5361"/>
    <w:rsid w:val="004E7C22"/>
    <w:rsid w:val="005162AC"/>
    <w:rsid w:val="005420E6"/>
    <w:rsid w:val="00543682"/>
    <w:rsid w:val="00547A9A"/>
    <w:rsid w:val="00563069"/>
    <w:rsid w:val="005A5CEB"/>
    <w:rsid w:val="005A674D"/>
    <w:rsid w:val="005D4A74"/>
    <w:rsid w:val="005F2DC2"/>
    <w:rsid w:val="005F77AB"/>
    <w:rsid w:val="00622D28"/>
    <w:rsid w:val="006237D8"/>
    <w:rsid w:val="00643D21"/>
    <w:rsid w:val="00647A27"/>
    <w:rsid w:val="00651D81"/>
    <w:rsid w:val="006648B2"/>
    <w:rsid w:val="006D333E"/>
    <w:rsid w:val="006E0F90"/>
    <w:rsid w:val="007100E8"/>
    <w:rsid w:val="00712BD4"/>
    <w:rsid w:val="007408FB"/>
    <w:rsid w:val="007530F0"/>
    <w:rsid w:val="007E0C88"/>
    <w:rsid w:val="007E498A"/>
    <w:rsid w:val="007F5157"/>
    <w:rsid w:val="00804FEC"/>
    <w:rsid w:val="00845B35"/>
    <w:rsid w:val="008A4C5F"/>
    <w:rsid w:val="008A62BF"/>
    <w:rsid w:val="008A71BF"/>
    <w:rsid w:val="008D3882"/>
    <w:rsid w:val="009168F4"/>
    <w:rsid w:val="0094304A"/>
    <w:rsid w:val="00964870"/>
    <w:rsid w:val="0097316E"/>
    <w:rsid w:val="00991A6E"/>
    <w:rsid w:val="00996E4F"/>
    <w:rsid w:val="009A2FDA"/>
    <w:rsid w:val="009A6305"/>
    <w:rsid w:val="009C16C6"/>
    <w:rsid w:val="00A21EF8"/>
    <w:rsid w:val="00A25C82"/>
    <w:rsid w:val="00A3098F"/>
    <w:rsid w:val="00A33A44"/>
    <w:rsid w:val="00A365CC"/>
    <w:rsid w:val="00A60955"/>
    <w:rsid w:val="00A6414A"/>
    <w:rsid w:val="00A703DF"/>
    <w:rsid w:val="00A81027"/>
    <w:rsid w:val="00A815FD"/>
    <w:rsid w:val="00A92279"/>
    <w:rsid w:val="00A95416"/>
    <w:rsid w:val="00A96E95"/>
    <w:rsid w:val="00AA0DF9"/>
    <w:rsid w:val="00AA5D96"/>
    <w:rsid w:val="00AA65EE"/>
    <w:rsid w:val="00AB1167"/>
    <w:rsid w:val="00AC35D8"/>
    <w:rsid w:val="00AD113F"/>
    <w:rsid w:val="00B0412E"/>
    <w:rsid w:val="00B60C2E"/>
    <w:rsid w:val="00B833DC"/>
    <w:rsid w:val="00BB62A9"/>
    <w:rsid w:val="00BE6CD1"/>
    <w:rsid w:val="00BF1F80"/>
    <w:rsid w:val="00C15D61"/>
    <w:rsid w:val="00C703FD"/>
    <w:rsid w:val="00C74C04"/>
    <w:rsid w:val="00CA4904"/>
    <w:rsid w:val="00CA6307"/>
    <w:rsid w:val="00CB6D1D"/>
    <w:rsid w:val="00CC3A96"/>
    <w:rsid w:val="00CC3B4A"/>
    <w:rsid w:val="00CD7FCC"/>
    <w:rsid w:val="00CF6ED5"/>
    <w:rsid w:val="00D061D8"/>
    <w:rsid w:val="00D146B9"/>
    <w:rsid w:val="00D31992"/>
    <w:rsid w:val="00D5426A"/>
    <w:rsid w:val="00D96832"/>
    <w:rsid w:val="00DE5559"/>
    <w:rsid w:val="00DF122D"/>
    <w:rsid w:val="00DF5717"/>
    <w:rsid w:val="00E15F26"/>
    <w:rsid w:val="00E2786D"/>
    <w:rsid w:val="00E64FA3"/>
    <w:rsid w:val="00E66A63"/>
    <w:rsid w:val="00E94BD6"/>
    <w:rsid w:val="00E9502A"/>
    <w:rsid w:val="00EA6C14"/>
    <w:rsid w:val="00ED0684"/>
    <w:rsid w:val="00ED2619"/>
    <w:rsid w:val="00EF6383"/>
    <w:rsid w:val="00F409C3"/>
    <w:rsid w:val="00F44935"/>
    <w:rsid w:val="00F60B5B"/>
    <w:rsid w:val="00FA0828"/>
    <w:rsid w:val="00FA0AF4"/>
    <w:rsid w:val="00FB1232"/>
    <w:rsid w:val="00FC4035"/>
    <w:rsid w:val="00FC56B7"/>
    <w:rsid w:val="00FC60BE"/>
    <w:rsid w:val="00FE10D9"/>
    <w:rsid w:val="0DA70AB4"/>
    <w:rsid w:val="291354B6"/>
    <w:rsid w:val="6472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1"/>
    <w:uiPriority w:val="0"/>
    <w:rPr>
      <w:b/>
      <w:bCs/>
    </w:rPr>
  </w:style>
  <w:style w:type="paragraph" w:styleId="3">
    <w:name w:val="annotation text"/>
    <w:basedOn w:val="1"/>
    <w:link w:val="14"/>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uiPriority w:val="0"/>
    <w:rPr>
      <w:sz w:val="21"/>
      <w:szCs w:val="21"/>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主题 Char"/>
    <w:link w:val="2"/>
    <w:uiPriority w:val="0"/>
    <w:rPr>
      <w:b/>
      <w:bCs/>
      <w:kern w:val="2"/>
      <w:sz w:val="21"/>
      <w:szCs w:val="24"/>
    </w:rPr>
  </w:style>
  <w:style w:type="character" w:customStyle="1" w:styleId="12">
    <w:name w:val="页眉 Char"/>
    <w:link w:val="6"/>
    <w:uiPriority w:val="0"/>
    <w:rPr>
      <w:kern w:val="2"/>
      <w:sz w:val="18"/>
      <w:szCs w:val="18"/>
    </w:rPr>
  </w:style>
  <w:style w:type="character" w:customStyle="1" w:styleId="13">
    <w:name w:val="页脚 Char"/>
    <w:link w:val="5"/>
    <w:uiPriority w:val="0"/>
    <w:rPr>
      <w:kern w:val="2"/>
      <w:sz w:val="18"/>
      <w:szCs w:val="18"/>
    </w:rPr>
  </w:style>
  <w:style w:type="character" w:customStyle="1" w:styleId="14">
    <w:name w:val="批注文字 Char"/>
    <w:link w:val="3"/>
    <w:uiPriority w:val="0"/>
    <w:rPr>
      <w:kern w:val="2"/>
      <w:sz w:val="21"/>
      <w:szCs w:val="24"/>
    </w:rPr>
  </w:style>
  <w:style w:type="character" w:customStyle="1" w:styleId="15">
    <w:name w:val="批注框文本 Char"/>
    <w:link w:val="4"/>
    <w:uiPriority w:val="0"/>
    <w:rPr>
      <w:kern w:val="2"/>
      <w:sz w:val="18"/>
      <w:szCs w:val="18"/>
    </w:rPr>
  </w:style>
  <w:style w:type="paragraph" w:customStyle="1" w:styleId="16">
    <w:name w:val="p15"/>
    <w:basedOn w:val="1"/>
    <w:qFormat/>
    <w:uiPriority w:val="0"/>
    <w:pPr>
      <w:widowControl/>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1325</Characters>
  <Lines>11</Lines>
  <Paragraphs>3</Paragraphs>
  <TotalTime>0</TotalTime>
  <ScaleCrop>false</ScaleCrop>
  <LinksUpToDate>false</LinksUpToDate>
  <CharactersWithSpaces>1554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2017-04-20T03:37:00Z</dcterms:created>
  <dc:creator>微软用户</dc:creator>
  <cp:lastModifiedBy>lenovo</cp:lastModifiedBy>
  <dcterms:modified xsi:type="dcterms:W3CDTF">2017-04-20T04:15:39Z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